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2EF" w:rsidRPr="00CD0344" w:rsidRDefault="00CD0344" w:rsidP="00A074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0344">
        <w:rPr>
          <w:rFonts w:ascii="Arial" w:hAnsi="Arial" w:cs="Arial"/>
          <w:sz w:val="24"/>
          <w:szCs w:val="24"/>
        </w:rPr>
        <w:t>Вопросы отношения молодежи к употреблению алкоголя обсуждались с учащимися УО «Пинский колледж техники и технологий»,  в ходе открытого кураторского часа, который состоялся 13 декабря. Участники проработали примеры-модели поведения, выработали личную позицию в ситуациях, провоцирующих их к употреблению алкоголя. Куратор учебной группы продемонстрировала методику организации воспитательного мероприятия в форме часа общения.</w:t>
      </w:r>
    </w:p>
    <w:sectPr w:rsidR="00BC22EF" w:rsidRPr="00CD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2EF"/>
    <w:rsid w:val="00A07460"/>
    <w:rsid w:val="00BC22EF"/>
    <w:rsid w:val="00C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2CFD"/>
  <w15:docId w15:val="{F0DDEFA2-B4F5-49C3-A9F7-46D84792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2022-12-15T06:43:00Z</dcterms:created>
  <dcterms:modified xsi:type="dcterms:W3CDTF">2022-12-15T09:30:00Z</dcterms:modified>
</cp:coreProperties>
</file>